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C49E" w14:textId="642BFEB5" w:rsidR="00D4244D" w:rsidRPr="001D3D31" w:rsidRDefault="00F04EED" w:rsidP="00D4244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323031">
        <w:rPr>
          <w:b/>
          <w:sz w:val="32"/>
          <w:szCs w:val="32"/>
        </w:rPr>
        <w:t>Е</w:t>
      </w:r>
    </w:p>
    <w:p w14:paraId="6084B611" w14:textId="77777777" w:rsidR="00D4244D" w:rsidRPr="001D3D31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1D3D31">
        <w:rPr>
          <w:b/>
        </w:rPr>
        <w:t>АДМИНИСТРАЦИИ САЛТЫНСКОГО СЕЛЬСКОГО ПОСЕЛЕНИЯ</w:t>
      </w:r>
    </w:p>
    <w:p w14:paraId="5E498DC1" w14:textId="77777777" w:rsidR="00D4244D" w:rsidRDefault="00D4244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D31">
        <w:rPr>
          <w:b/>
        </w:rPr>
        <w:t>УРЮПИНСКОГО МУНИЦИПАЛЬНОГО</w:t>
      </w:r>
      <w:r w:rsidRPr="00624E12">
        <w:rPr>
          <w:b/>
          <w:sz w:val="28"/>
          <w:szCs w:val="28"/>
        </w:rPr>
        <w:t xml:space="preserve"> РАЙОНА</w:t>
      </w:r>
    </w:p>
    <w:p w14:paraId="46D00E50" w14:textId="77777777" w:rsidR="00F04EED" w:rsidRPr="00FA401B" w:rsidRDefault="00F04EE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FA401B">
        <w:rPr>
          <w:b/>
        </w:rPr>
        <w:t>ВОЛГОГРАДСКОЙ ОБЛАСТИ</w:t>
      </w:r>
    </w:p>
    <w:p w14:paraId="36C1EDCD" w14:textId="77777777" w:rsidR="00D4244D" w:rsidRPr="007836AB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624E12">
        <w:rPr>
          <w:b/>
          <w:sz w:val="28"/>
          <w:szCs w:val="28"/>
        </w:rPr>
        <w:t>__________________________________________________________________</w:t>
      </w:r>
    </w:p>
    <w:p w14:paraId="48CCAA0A" w14:textId="15C93D5F" w:rsidR="00FD6A2C" w:rsidRPr="00916E16" w:rsidRDefault="00F04EED" w:rsidP="00D424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3031">
        <w:rPr>
          <w:sz w:val="28"/>
          <w:szCs w:val="28"/>
        </w:rPr>
        <w:t>03.12.</w:t>
      </w:r>
      <w:r>
        <w:rPr>
          <w:sz w:val="28"/>
          <w:szCs w:val="28"/>
        </w:rPr>
        <w:t>2021г.                                                              №</w:t>
      </w:r>
      <w:r w:rsidR="00916E16" w:rsidRPr="00916E16">
        <w:rPr>
          <w:sz w:val="28"/>
          <w:szCs w:val="28"/>
        </w:rPr>
        <w:t>39</w:t>
      </w:r>
    </w:p>
    <w:p w14:paraId="6EA40FEE" w14:textId="77777777" w:rsidR="00C62C27" w:rsidRDefault="00C62C27" w:rsidP="007019C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14:paraId="2704168C" w14:textId="0E2A93CE" w:rsidR="00016AED" w:rsidRDefault="007019CA" w:rsidP="00016AED">
      <w:pPr>
        <w:spacing w:after="0"/>
        <w:ind w:right="-1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016AE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Урюпинского муниципального района </w:t>
      </w:r>
    </w:p>
    <w:p w14:paraId="62E1C0B7" w14:textId="77777777" w:rsidR="007019CA" w:rsidRPr="007019CA" w:rsidRDefault="007019CA" w:rsidP="00016AED">
      <w:pPr>
        <w:spacing w:after="0"/>
        <w:ind w:right="-1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Волгоградской области на 2022 -2024 годы</w:t>
      </w:r>
    </w:p>
    <w:p w14:paraId="09AB0DBE" w14:textId="77777777" w:rsidR="007019CA" w:rsidRPr="007019CA" w:rsidRDefault="007019CA" w:rsidP="007019CA">
      <w:pPr>
        <w:spacing w:after="0"/>
        <w:ind w:right="3544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023ADCA9" w14:textId="1274ED54" w:rsidR="00016AED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 </w:t>
      </w:r>
      <w:r w:rsidR="00016AE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Урюпинского муниципального района Волгоградской области, администрация </w:t>
      </w:r>
      <w:r w:rsidR="00016AE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Урюпинского муниципального района Волгоградской области </w:t>
      </w:r>
    </w:p>
    <w:p w14:paraId="2730006F" w14:textId="77777777" w:rsidR="00016AED" w:rsidRDefault="00016AED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778D6F46" w14:textId="77777777" w:rsidR="007019CA" w:rsidRPr="007019CA" w:rsidRDefault="00016AED" w:rsidP="00016AED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ПОСТАНОВЛЯЕТ:</w:t>
      </w:r>
    </w:p>
    <w:p w14:paraId="07F2D62E" w14:textId="566A2E2E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vertAlign w:val="superscript"/>
          <w:lang w:eastAsia="ru-RU"/>
        </w:rPr>
        <w:t xml:space="preserve"> 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на территории </w:t>
      </w:r>
      <w:r w:rsidR="00016AE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Урюпинского муниципального района Волгоградской области на 2022-2024 годы согласно Приложению.</w:t>
      </w:r>
    </w:p>
    <w:p w14:paraId="0A0F5F08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2. Контроль за исполнением настоящего постановления оставляю за собой.</w:t>
      </w:r>
    </w:p>
    <w:p w14:paraId="0ABD71DA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3. Настоящее постановление вст</w:t>
      </w:r>
      <w:r w:rsidR="009D7E90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упает в силу с 1 января 2022 года.</w:t>
      </w:r>
    </w:p>
    <w:p w14:paraId="20C577A9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528C6277" w14:textId="77777777" w:rsidR="007019CA" w:rsidRDefault="007019CA" w:rsidP="007019C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Глава</w:t>
      </w:r>
      <w:r w:rsidR="009D7E90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</w:t>
      </w:r>
      <w:r w:rsidR="00016AE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              </w:t>
      </w:r>
      <w:r w:rsidR="009D7E90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          Л.В. Колотилина</w:t>
      </w:r>
    </w:p>
    <w:p w14:paraId="6EAA416D" w14:textId="77777777" w:rsidR="009D7E90" w:rsidRDefault="009D7E90" w:rsidP="007019C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149CD668" w14:textId="77777777" w:rsidR="009D7E90" w:rsidRDefault="009D7E90" w:rsidP="007019C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5FDA0528" w14:textId="77777777" w:rsidR="00643E17" w:rsidRDefault="00643E17" w:rsidP="007019C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4A04C445" w14:textId="77777777" w:rsidR="009D7E90" w:rsidRPr="007019CA" w:rsidRDefault="009D7E90" w:rsidP="007019C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33EA64C2" w14:textId="7979E109" w:rsidR="007019CA" w:rsidRPr="007019CA" w:rsidRDefault="007019CA" w:rsidP="007019CA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lastRenderedPageBreak/>
        <w:t>Приложение</w:t>
      </w:r>
    </w:p>
    <w:p w14:paraId="42282A36" w14:textId="546C67F0" w:rsidR="007019CA" w:rsidRPr="007019CA" w:rsidRDefault="007019CA" w:rsidP="007019CA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к </w:t>
      </w:r>
      <w:r w:rsidR="009D7E90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постановлени</w:t>
      </w:r>
      <w:r w:rsidR="00323031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ю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администрации</w:t>
      </w:r>
    </w:p>
    <w:p w14:paraId="19E83B40" w14:textId="789148C2" w:rsidR="007019CA" w:rsidRDefault="00016AED" w:rsidP="007019CA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="007019CA"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</w:t>
      </w:r>
    </w:p>
    <w:p w14:paraId="78A1258C" w14:textId="2C0F7DCB" w:rsidR="00323031" w:rsidRPr="007019CA" w:rsidRDefault="00323031" w:rsidP="007019CA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от 03.12.2021 г №</w:t>
      </w:r>
      <w:r w:rsidR="009235F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39</w:t>
      </w:r>
      <w:bookmarkStart w:id="0" w:name="_GoBack"/>
      <w:bookmarkEnd w:id="0"/>
    </w:p>
    <w:p w14:paraId="7D35D3B9" w14:textId="77777777" w:rsidR="007019CA" w:rsidRPr="007019CA" w:rsidRDefault="007019CA" w:rsidP="007019CA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1508595E" w14:textId="77777777"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ПРОГРАММА</w:t>
      </w:r>
    </w:p>
    <w:p w14:paraId="7C593A0B" w14:textId="3BEE8A68"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vertAlign w:val="superscript"/>
          <w:lang w:eastAsia="ru-RU"/>
        </w:rPr>
        <w:t xml:space="preserve"> </w:t>
      </w: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на территории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</w:t>
      </w:r>
      <w:r w:rsidR="00016AED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 xml:space="preserve"> сельского поселения Урюпинского муниципального района Волгоградской области на 2022-2024 годы</w:t>
      </w:r>
    </w:p>
    <w:p w14:paraId="0614C278" w14:textId="77777777"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</w:p>
    <w:p w14:paraId="65751C7B" w14:textId="77777777"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1. Общие положения</w:t>
      </w:r>
    </w:p>
    <w:p w14:paraId="58D27EF0" w14:textId="032D46F1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</w:t>
      </w:r>
      <w:r w:rsidR="00323031"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жилищного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контроля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vertAlign w:val="superscript"/>
          <w:lang w:eastAsia="ru-RU"/>
        </w:rPr>
        <w:t xml:space="preserve"> 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на территории </w:t>
      </w:r>
      <w:r w:rsidR="00016AE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Урюпинского муниципального района Волгоградской области на 2022-2024 годы (далее - Программа профилактики) разработана для организации проведения в 2022-2024  годах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016AE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Урюпинского муниципального района Волгоградской области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1E5C9861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1.2. Программа профилактики реализуется в 2022-2024 годах и состоит из следующих разделов:</w:t>
      </w:r>
    </w:p>
    <w:p w14:paraId="614E76E3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14:paraId="1A33BE68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б) цели и задачи реализации программы профилактики;</w:t>
      </w:r>
    </w:p>
    <w:p w14:paraId="4E1C4A63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в) перечень профилактических мероприятий, сроки (периодичность) их проведения;</w:t>
      </w:r>
    </w:p>
    <w:p w14:paraId="2E5E910E" w14:textId="77777777" w:rsidR="007019CA" w:rsidRPr="007019CA" w:rsidRDefault="007019CA" w:rsidP="009D7E90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г) показатели результативности и эффективности программы профилактики.</w:t>
      </w:r>
    </w:p>
    <w:p w14:paraId="7CEF9ECC" w14:textId="77777777"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2. Аналитическая часть</w:t>
      </w:r>
    </w:p>
    <w:p w14:paraId="0FABFAB6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i/>
          <w:color w:val="FB290D"/>
          <w:sz w:val="28"/>
          <w:szCs w:val="20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Ранее жилищный  муниципальный контроль на территории </w:t>
      </w:r>
      <w:r w:rsidR="00016A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Урюпинского муниципального района Волгоградской области  не осуществлялся, в связи с чем не представляется </w:t>
      </w:r>
      <w:r w:rsidRPr="007019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7019CA">
        <w:rPr>
          <w:rFonts w:ascii="XO Thames" w:eastAsia="Times New Roman" w:hAnsi="XO Thames" w:cs="Times New Roman"/>
          <w:i/>
          <w:color w:val="000000"/>
          <w:sz w:val="28"/>
          <w:szCs w:val="20"/>
          <w:lang w:eastAsia="ru-RU"/>
        </w:rPr>
        <w:t>.</w:t>
      </w:r>
    </w:p>
    <w:p w14:paraId="53BDE2AC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i/>
          <w:color w:val="FB290D"/>
          <w:sz w:val="28"/>
          <w:szCs w:val="20"/>
          <w:lang w:eastAsia="ru-RU"/>
        </w:rPr>
      </w:pPr>
    </w:p>
    <w:p w14:paraId="36ADB00F" w14:textId="77777777"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3. Цели и задачи реализации программы профилактики</w:t>
      </w:r>
    </w:p>
    <w:p w14:paraId="4048058B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3.1. Целями Программы профилактики являются:</w:t>
      </w:r>
    </w:p>
    <w:p w14:paraId="26097406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3B4CB71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б) снижение административной нагрузки на подконтрольные субъекты;</w:t>
      </w:r>
    </w:p>
    <w:p w14:paraId="59ED8FE8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в) создание мотивации к добросовестному поведению подконтрольных субъектов;</w:t>
      </w:r>
    </w:p>
    <w:p w14:paraId="09B699AA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г) снижение уровня вреда (ущерба), причиняемого охраняемым законом ценностям.</w:t>
      </w:r>
    </w:p>
    <w:p w14:paraId="3D31D531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3.2. Задачами Программы профилактики являются:</w:t>
      </w:r>
    </w:p>
    <w:p w14:paraId="3BCC88C0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а) укрепление системы профилактики нарушений обязательных требований;</w:t>
      </w:r>
    </w:p>
    <w:p w14:paraId="30A70052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1C42A13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в) повышение правосознания и правовой культуры подконтрольных субъектов.</w:t>
      </w:r>
    </w:p>
    <w:p w14:paraId="2D8EDE0A" w14:textId="77777777" w:rsidR="007019CA" w:rsidRPr="007019CA" w:rsidRDefault="007019CA" w:rsidP="007019C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5CE8F5E1" w14:textId="77777777" w:rsidR="009D7E90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 xml:space="preserve">4. Перечень профилактических мероприятий, сроки (периодичность) </w:t>
      </w:r>
    </w:p>
    <w:p w14:paraId="702DA72E" w14:textId="77777777"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их проведения</w:t>
      </w:r>
    </w:p>
    <w:p w14:paraId="227385E0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14:paraId="44E3A716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544"/>
        <w:gridCol w:w="3543"/>
        <w:gridCol w:w="2092"/>
      </w:tblGrid>
      <w:tr w:rsidR="007019CA" w:rsidRPr="007019CA" w14:paraId="746C4E32" w14:textId="77777777" w:rsidTr="00917578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C01F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49E5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8792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Срок (периодичность)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BA69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7019CA" w:rsidRPr="007019CA" w14:paraId="700EE50C" w14:textId="77777777" w:rsidTr="009175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BE56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D1EC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Информирование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F4C4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FF95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019CA" w:rsidRPr="007019CA" w14:paraId="521A7CD6" w14:textId="77777777" w:rsidTr="009175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E92F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723C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508C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1 раз в год до 30 января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E24D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019CA" w:rsidRPr="007019CA" w14:paraId="7A75C8C8" w14:textId="77777777" w:rsidTr="009175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07EA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849C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Меры стимулирования добросовестности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1E06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C5B7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019CA" w:rsidRPr="007019CA" w14:paraId="14D1D012" w14:textId="77777777" w:rsidTr="009175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8F8E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E778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B8DE" w14:textId="3A2464EC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</w:t>
            </w: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lastRenderedPageBreak/>
              <w:t>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E10F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019CA" w:rsidRPr="007019CA" w14:paraId="3421FE47" w14:textId="77777777" w:rsidTr="009175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114A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A0D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3A38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337C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019CA" w:rsidRPr="007019CA" w14:paraId="016691AF" w14:textId="77777777" w:rsidTr="009175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C8A8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86DB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Самообследование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77BF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По мере принятия решения подконтрольным субъектом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9B5A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019CA" w:rsidRPr="007019CA" w14:paraId="4D4BD7E7" w14:textId="77777777" w:rsidTr="009175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8CB6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0D6B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8503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___ квартал / месяц</w:t>
            </w: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6DFB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71A69436" w14:textId="77777777" w:rsidR="007019CA" w:rsidRPr="007019CA" w:rsidRDefault="007019CA" w:rsidP="007019C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1E90CDA9" w14:textId="77777777"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7019CA">
        <w:rPr>
          <w:rFonts w:ascii="Times New Roman" w:eastAsia="Times New Roman" w:hAnsi="Times New Roman" w:cs="Times New Roman"/>
          <w:i/>
          <w:color w:val="FB290D"/>
          <w:sz w:val="28"/>
          <w:szCs w:val="28"/>
          <w:lang w:eastAsia="ru-RU"/>
        </w:rPr>
        <w:t xml:space="preserve"> </w:t>
      </w: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342E918E" w14:textId="77777777" w:rsidR="007019CA" w:rsidRPr="007019CA" w:rsidRDefault="007019CA" w:rsidP="007019C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порядка проведения контрольных мероприятий;</w:t>
      </w:r>
    </w:p>
    <w:p w14:paraId="7992C129" w14:textId="77777777" w:rsidR="007019CA" w:rsidRPr="007019CA" w:rsidRDefault="007019CA" w:rsidP="007019C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периодичности проведения контрольных мероприятий;</w:t>
      </w:r>
    </w:p>
    <w:p w14:paraId="0E09342A" w14:textId="77777777" w:rsidR="007019CA" w:rsidRPr="007019CA" w:rsidRDefault="007019CA" w:rsidP="007019C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порядка принятия решений по итогам контрольных мероприятий;</w:t>
      </w:r>
    </w:p>
    <w:p w14:paraId="1222E2E3" w14:textId="77777777" w:rsidR="007019CA" w:rsidRPr="007019CA" w:rsidRDefault="007019CA" w:rsidP="007019C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порядка обжалования решений Контрольного органа.</w:t>
      </w:r>
    </w:p>
    <w:p w14:paraId="5F66D7B5" w14:textId="77777777" w:rsidR="007019CA" w:rsidRPr="007019CA" w:rsidRDefault="007019CA" w:rsidP="007019C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Инспекторы осуществляют консультирование контролируемых лиц и их представителей:</w:t>
      </w:r>
    </w:p>
    <w:p w14:paraId="076E3245" w14:textId="77777777"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298B29AE" w14:textId="77777777"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5ACABCEB" w14:textId="77777777" w:rsidR="007019CA" w:rsidRPr="007019CA" w:rsidRDefault="007019CA" w:rsidP="007019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на личном приеме каждого заявителя инспекторами не может превышать 10 минут.</w:t>
      </w:r>
    </w:p>
    <w:p w14:paraId="2EBE72DE" w14:textId="77777777" w:rsidR="007019CA" w:rsidRPr="007019CA" w:rsidRDefault="007019CA" w:rsidP="007019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по телефону не должно превышать 10 минут.</w:t>
      </w:r>
    </w:p>
    <w:p w14:paraId="5B496CEA" w14:textId="77777777"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2AE424AD" w14:textId="77777777"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консультирование контролируемых лиц и их представителей осуществляется по следующим вопросам:</w:t>
      </w:r>
    </w:p>
    <w:p w14:paraId="0D5FC842" w14:textId="77777777"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обжалования решений Контрольного органа.</w:t>
      </w:r>
    </w:p>
    <w:p w14:paraId="2E92436D" w14:textId="77777777"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16FF5" w14:textId="77777777"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701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14:paraId="4FA0EF28" w14:textId="77777777"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Контрольный орган осуществляет учет проведенных консультирований.</w:t>
      </w:r>
    </w:p>
    <w:p w14:paraId="6C03B39C" w14:textId="77777777" w:rsidR="007019CA" w:rsidRPr="007019CA" w:rsidRDefault="007019CA" w:rsidP="007019C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E5EF5" w14:textId="77777777" w:rsidR="0059682F" w:rsidRDefault="0059682F" w:rsidP="00917578">
      <w:pPr>
        <w:spacing w:after="0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sectPr w:rsidR="0059682F" w:rsidSect="00917578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735DBD6F" w14:textId="77777777"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lastRenderedPageBreak/>
        <w:t xml:space="preserve">5. Показатели результативности и эффективности </w:t>
      </w:r>
      <w:r w:rsidRPr="007019CA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br/>
      </w: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Программы профилактики</w:t>
      </w:r>
    </w:p>
    <w:p w14:paraId="6E3942C2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25C2FAFF" w14:textId="77777777" w:rsidR="007019CA" w:rsidRPr="007019CA" w:rsidRDefault="007019CA" w:rsidP="00917578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14:paraId="4423DF7B" w14:textId="77777777" w:rsidR="007019CA" w:rsidRPr="007019CA" w:rsidRDefault="007019CA" w:rsidP="007019CA">
      <w:pPr>
        <w:spacing w:after="360"/>
        <w:jc w:val="center"/>
        <w:outlineLvl w:val="0"/>
        <w:rPr>
          <w:rFonts w:ascii="XO Thames" w:eastAsia="Times New Roman" w:hAnsi="XO Thames" w:cs="Arial"/>
          <w:b/>
          <w:color w:val="000000"/>
          <w:sz w:val="24"/>
          <w:szCs w:val="24"/>
          <w:lang w:eastAsia="ru-RU"/>
        </w:rPr>
      </w:pPr>
      <w:r w:rsidRPr="007019CA">
        <w:rPr>
          <w:rFonts w:ascii="XO Thames" w:eastAsia="Times New Roman" w:hAnsi="XO Thames" w:cs="Arial"/>
          <w:b/>
          <w:color w:val="000000"/>
          <w:sz w:val="24"/>
          <w:szCs w:val="24"/>
          <w:lang w:eastAsia="ru-RU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3"/>
        <w:gridCol w:w="1695"/>
        <w:gridCol w:w="10"/>
        <w:gridCol w:w="14"/>
        <w:gridCol w:w="1120"/>
        <w:gridCol w:w="14"/>
        <w:gridCol w:w="1681"/>
        <w:gridCol w:w="6"/>
        <w:gridCol w:w="14"/>
        <w:gridCol w:w="1262"/>
        <w:gridCol w:w="14"/>
        <w:gridCol w:w="1075"/>
        <w:gridCol w:w="47"/>
        <w:gridCol w:w="12"/>
        <w:gridCol w:w="1125"/>
        <w:gridCol w:w="9"/>
        <w:gridCol w:w="990"/>
        <w:gridCol w:w="994"/>
        <w:gridCol w:w="2270"/>
        <w:gridCol w:w="3117"/>
      </w:tblGrid>
      <w:tr w:rsidR="00D23EDE" w:rsidRPr="007019CA" w14:paraId="5687484B" w14:textId="77777777" w:rsidTr="00D23EDE">
        <w:trPr>
          <w:trHeight w:val="37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392B" w14:textId="77777777" w:rsidR="007019CA" w:rsidRPr="007019CA" w:rsidRDefault="007019CA" w:rsidP="0059682F">
            <w:pPr>
              <w:spacing w:after="0"/>
              <w:ind w:left="-135" w:firstLine="135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Номер показателя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E509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6FE0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A38B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Комментарии                           (интерпретация значений)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C3B1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3FFC" w14:textId="77777777" w:rsidR="00206B70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Международное сопоставление показа</w:t>
            </w:r>
          </w:p>
          <w:p w14:paraId="1052627E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993B3D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82673A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Источники данных для определения значений показателя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BF14A1" w14:textId="36D3E41C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D23EDE" w:rsidRPr="007019CA" w14:paraId="2D1794BA" w14:textId="77777777" w:rsidTr="00D23EDE">
        <w:trPr>
          <w:trHeight w:val="1185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CFD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844A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BE36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E159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1B54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3311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4899" w14:textId="77777777" w:rsidR="00323031" w:rsidRDefault="00206B70" w:rsidP="00323031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 w:hint="eastAsia"/>
                <w:color w:val="000000"/>
                <w:sz w:val="20"/>
                <w:szCs w:val="20"/>
                <w:lang w:eastAsia="ru-RU"/>
              </w:rPr>
              <w:t>П</w:t>
            </w:r>
            <w:r w:rsidR="007019CA"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редыду</w:t>
            </w:r>
          </w:p>
          <w:p w14:paraId="636DA441" w14:textId="41ECF275" w:rsidR="007019CA" w:rsidRPr="007019CA" w:rsidRDefault="007019CA" w:rsidP="00323031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щий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2F21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C7A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будущий год</w:t>
            </w: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9398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A71D30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578" w:rsidRPr="007019CA" w14:paraId="41C97A47" w14:textId="77777777" w:rsidTr="00460B3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8AF" w14:textId="77777777" w:rsidR="00917578" w:rsidRPr="007019CA" w:rsidRDefault="00917578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DEF7" w14:textId="77777777" w:rsidR="00917578" w:rsidRPr="007019CA" w:rsidRDefault="00917578" w:rsidP="00917578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206B70" w:rsidRPr="007019CA" w14:paraId="1F202524" w14:textId="77777777" w:rsidTr="00D23EDE">
        <w:trPr>
          <w:trHeight w:val="7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64D9BF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5A10" w14:textId="77777777" w:rsidR="007019CA" w:rsidRPr="007019CA" w:rsidRDefault="007019CA" w:rsidP="007019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14:paraId="3E46044F" w14:textId="77777777" w:rsidR="007019CA" w:rsidRPr="007019CA" w:rsidRDefault="007019CA" w:rsidP="007019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  <w:t>уровень устранения риска причинения вреда (ущерба)</w:t>
            </w:r>
          </w:p>
        </w:tc>
      </w:tr>
      <w:tr w:rsidR="00206B70" w:rsidRPr="007019CA" w14:paraId="68EDD852" w14:textId="77777777" w:rsidTr="00D23EDE">
        <w:trPr>
          <w:trHeight w:val="26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92C5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6E59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домах и жилых домов, в процентах от валового регионального продукта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43EB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Сп*100/ ВРП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6450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 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14:paraId="6BF13803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BB1C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CE9EE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71140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D8A29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0C6E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A104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r w:rsidRPr="007019CA">
              <w:rPr>
                <w:rFonts w:ascii="XO Thames" w:eastAsia="Times New Roman" w:hAnsi="XO Thames" w:cs="Arial"/>
                <w:bCs/>
                <w:color w:val="000000"/>
                <w:sz w:val="20"/>
                <w:szCs w:val="20"/>
                <w:lang w:eastAsia="ru-RU"/>
              </w:rPr>
              <w:t>Волгоградстат)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F41E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B70" w:rsidRPr="007019CA" w14:paraId="4F97DCD6" w14:textId="77777777" w:rsidTr="00D23EDE">
        <w:trPr>
          <w:trHeight w:val="26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AF30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7F68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90BF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 Кспв*100% / Ксн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D2AB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 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решениями суда;</w:t>
            </w:r>
          </w:p>
          <w:p w14:paraId="1A9CB773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  <w:p w14:paraId="09367BA4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14:paraId="0A31F349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  <w:p w14:paraId="394EED8B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  <w:p w14:paraId="23FBC5EA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6260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B17A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B5C6D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A9E5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B067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1CC9" w14:textId="51218449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органа; данные ГАС РФ «Правосудие».</w:t>
            </w:r>
          </w:p>
          <w:p w14:paraId="5EF41BCA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0D3E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CBD" w:rsidRPr="007019CA" w14:paraId="41A604FF" w14:textId="77777777" w:rsidTr="00D23EDE">
        <w:trPr>
          <w:trHeight w:val="44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EB5E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EA8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0"/>
                <w:szCs w:val="20"/>
                <w:lang w:eastAsia="ru-RU"/>
              </w:rPr>
              <w:t>ИНДИКАТИВНЫЕ ПОКАЗАТЕЛИ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CBD" w:rsidRPr="007019CA" w14:paraId="1542F540" w14:textId="77777777" w:rsidTr="00D23EDE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A8F0B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5BC2" w14:textId="77777777" w:rsidR="007019CA" w:rsidRPr="007019CA" w:rsidRDefault="007019CA" w:rsidP="007019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XO Thames" w:eastAsia="Times New Roman" w:hAnsi="XO Thames" w:cs="Arial"/>
                <w:b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color w:val="000000"/>
                <w:sz w:val="20"/>
                <w:szCs w:val="20"/>
                <w:lang w:eastAsia="ru-RU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FE2CBD" w:rsidRPr="007019CA" w14:paraId="79710BC1" w14:textId="77777777" w:rsidTr="00D23EDE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4E93" w14:textId="77777777" w:rsidR="00FE2CBD" w:rsidRPr="007019CA" w:rsidRDefault="00FE2CBD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2B54" w14:textId="77777777" w:rsidR="00FE2CBD" w:rsidRPr="007019CA" w:rsidRDefault="00FE2CBD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</w:tr>
      <w:tr w:rsidR="00D23EDE" w:rsidRPr="007019CA" w14:paraId="516EAD58" w14:textId="77777777" w:rsidTr="00D23EDE">
        <w:trPr>
          <w:trHeight w:val="186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EDF1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EFB9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14:paraId="57195663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муниципального жилищного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F287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Пву*100% / Пок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E15C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14:paraId="441168BB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  <w:p w14:paraId="6AEBA466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Пок – общее количество проведенных контрольных мероприятий  в рамках муниципального жилищного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контроля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CE6B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D854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4F94B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C5F93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867B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1518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D0FAA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EDE" w:rsidRPr="007019CA" w14:paraId="6556D0ED" w14:textId="77777777" w:rsidTr="00D23EDE">
        <w:trPr>
          <w:trHeight w:val="18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F8D7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0ADA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1041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ПРн*100% / ПРо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7D41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ПРн- количество предписаний,  признанных незаконными в судебном порядке;</w:t>
            </w:r>
          </w:p>
          <w:p w14:paraId="21221955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  <w:p w14:paraId="343288F4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14:paraId="11BCBF87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4B14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F81D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32CB4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6C9C3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7058C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9F2F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80F3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EDE" w:rsidRPr="007019CA" w14:paraId="7C8BEACB" w14:textId="77777777" w:rsidTr="00D23EDE">
        <w:trPr>
          <w:trHeight w:val="18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0E74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69BC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12DC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Ппн*100%  / Пок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594B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14:paraId="2D683DC8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Пок - общему количество контрольных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мероприятий , проведенных в рамках  муниципального жилищного контроля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E997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C07B7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0EAB8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7CC5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46902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4A97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  <w:p w14:paraId="1EE36D08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A8E25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EDE" w:rsidRPr="007019CA" w14:paraId="129A381B" w14:textId="77777777" w:rsidTr="00D23EDE">
        <w:trPr>
          <w:trHeight w:val="13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6748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009D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общего количества проведенных контрольных мероприятий</w:t>
            </w:r>
          </w:p>
          <w:p w14:paraId="48023724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2B16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Псн*100%  /Пок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97A6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14:paraId="457D9F09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  <w:p w14:paraId="7F4AED0A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917D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682A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EE18E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FFDAB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7757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25F1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  <w:p w14:paraId="4BAA4027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BFB72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EDE" w:rsidRPr="007019CA" w14:paraId="083DB0D4" w14:textId="77777777" w:rsidTr="00D23EDE">
        <w:trPr>
          <w:trHeight w:val="53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728AB" w14:textId="77777777" w:rsidR="00D23EDE" w:rsidRPr="007019CA" w:rsidRDefault="00D23EDE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FF30" w14:textId="77777777" w:rsidR="00D23EDE" w:rsidRPr="007019CA" w:rsidRDefault="00D23EDE" w:rsidP="00D23EDE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0"/>
                <w:szCs w:val="20"/>
                <w:lang w:eastAsia="ru-RU"/>
              </w:rPr>
              <w:t>2.2. Мероприятия по контролю без взаимодействия с контролируемым лицом</w:t>
            </w:r>
          </w:p>
        </w:tc>
      </w:tr>
      <w:tr w:rsidR="00D23EDE" w:rsidRPr="007019CA" w14:paraId="16169E89" w14:textId="77777777" w:rsidTr="00016AED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56711" w14:textId="77777777" w:rsidR="00D23EDE" w:rsidRPr="007019CA" w:rsidRDefault="00D23EDE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DDE7" w14:textId="77777777" w:rsidR="00D23EDE" w:rsidRPr="007019CA" w:rsidRDefault="00D23EDE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Общее количество контрольных мероприятий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0C1E2" w14:textId="77777777" w:rsidR="00D23EDE" w:rsidRPr="007019CA" w:rsidRDefault="00D23EDE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инспекции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C236" w14:textId="77777777" w:rsidR="00D23EDE" w:rsidRPr="007019CA" w:rsidRDefault="00D23EDE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538D" w14:textId="77777777" w:rsidR="00D23EDE" w:rsidRPr="007019CA" w:rsidRDefault="00D23EDE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7426F" w14:textId="77777777" w:rsidR="00D23EDE" w:rsidRPr="007019CA" w:rsidRDefault="00D23EDE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C599F" w14:textId="77777777" w:rsidR="00D23EDE" w:rsidRPr="007019CA" w:rsidRDefault="00D23EDE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6CC35" w14:textId="77777777" w:rsidR="00D23EDE" w:rsidRPr="007019CA" w:rsidRDefault="00D23EDE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BD83" w14:textId="77777777" w:rsidR="00D23EDE" w:rsidRPr="007019CA" w:rsidRDefault="00D23EDE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6FD2B" w14:textId="77777777" w:rsidR="00D23EDE" w:rsidRPr="007019CA" w:rsidRDefault="00D23EDE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B2567" w14:textId="77777777" w:rsidR="00D23EDE" w:rsidRPr="007019CA" w:rsidRDefault="00D23EDE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EDE" w:rsidRPr="007019CA" w14:paraId="388D1191" w14:textId="77777777" w:rsidTr="00016AED">
        <w:trPr>
          <w:trHeight w:val="16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B77F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7926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14:paraId="5E3C83F0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органом муниципального жилищного контроля</w:t>
            </w:r>
          </w:p>
          <w:p w14:paraId="529E85EC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по результатам контрольных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929E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ПРМБВн*100%  / ПРМБВо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6FBF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ПРМБВн 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14:paraId="6A40BCA3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ПРМБВо - количество предписаний, выданных  по результатам контрольных мероприятий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B9A4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AF29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B5E8E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634D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4DA1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C600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  <w:p w14:paraId="629F9D6E" w14:textId="77777777"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75DFA" w14:textId="77777777"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6E7C809" w14:textId="77777777" w:rsidR="00206B70" w:rsidRDefault="00206B70" w:rsidP="00016AED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06B70" w:rsidSect="00FE2CBD">
          <w:pgSz w:w="16838" w:h="11906" w:orient="landscape"/>
          <w:pgMar w:top="851" w:right="1134" w:bottom="709" w:left="567" w:header="709" w:footer="709" w:gutter="0"/>
          <w:cols w:space="708"/>
          <w:docGrid w:linePitch="360"/>
        </w:sectPr>
      </w:pPr>
    </w:p>
    <w:p w14:paraId="54F1CB5F" w14:textId="77777777" w:rsidR="00206B70" w:rsidRDefault="00206B70" w:rsidP="007019C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13EE00" w14:textId="77777777" w:rsidR="00206B70" w:rsidRDefault="00206B70" w:rsidP="007019C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9E64D2" w14:textId="77777777" w:rsidR="007019CA" w:rsidRPr="007019CA" w:rsidRDefault="007019CA" w:rsidP="007019C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14:paraId="258E9891" w14:textId="77777777" w:rsidR="007019CA" w:rsidRDefault="007019CA" w:rsidP="007019C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14:paraId="6A7FC911" w14:textId="77777777" w:rsidR="00206B70" w:rsidRDefault="00206B70" w:rsidP="007019C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17B93" w14:textId="77777777" w:rsidR="00206B70" w:rsidRPr="007019CA" w:rsidRDefault="00206B70" w:rsidP="007019C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FE8D8C" w14:textId="77777777" w:rsidR="007019CA" w:rsidRPr="007019CA" w:rsidRDefault="007019CA" w:rsidP="007019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________________________________________________________________________,</w:t>
      </w:r>
    </w:p>
    <w:p w14:paraId="6B88F0D9" w14:textId="77777777" w:rsidR="007019CA" w:rsidRPr="007019CA" w:rsidRDefault="007019CA" w:rsidP="007019CA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14:paraId="7F8CAF7C" w14:textId="77777777" w:rsidR="007019CA" w:rsidRPr="007019CA" w:rsidRDefault="007019CA" w:rsidP="007019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паспорт_______________, выдан ".______________________________________________</w:t>
      </w:r>
    </w:p>
    <w:p w14:paraId="53353596" w14:textId="77777777" w:rsidR="007019CA" w:rsidRPr="007019CA" w:rsidRDefault="007019CA" w:rsidP="007019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проживающий(ая) по адресу ___________________________________________________</w:t>
      </w:r>
    </w:p>
    <w:p w14:paraId="3B5599FA" w14:textId="0FD4231E" w:rsidR="007019CA" w:rsidRPr="007019CA" w:rsidRDefault="007019CA" w:rsidP="007019C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Федеральным законом от 27.07.2006 №152-ФЗ "О персональных данных" даю свое согласие администрации </w:t>
      </w:r>
      <w:r w:rsidR="0001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Салтынского</w:t>
      </w: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Урюпинского муниципального района Волгоградской области, расположенной по адресу 403</w:t>
      </w:r>
      <w:r w:rsidR="0032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Салтынский ул. Школьная, д.2</w:t>
      </w: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обработку в документальной и/или электронной форме моих персональных данных, а именно:</w:t>
      </w:r>
    </w:p>
    <w:p w14:paraId="5E00E788" w14:textId="77777777" w:rsidR="007019CA" w:rsidRPr="007019CA" w:rsidRDefault="007019CA" w:rsidP="007019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отчество; </w:t>
      </w:r>
    </w:p>
    <w:p w14:paraId="63BF32D5" w14:textId="77777777" w:rsidR="007019CA" w:rsidRPr="007019CA" w:rsidRDefault="007019CA" w:rsidP="007019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рождения, место рождения; </w:t>
      </w:r>
    </w:p>
    <w:p w14:paraId="390DFAD5" w14:textId="77777777" w:rsidR="007019CA" w:rsidRPr="007019CA" w:rsidRDefault="007019CA" w:rsidP="007019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или наличие специальных знаний; </w:t>
      </w:r>
    </w:p>
    <w:p w14:paraId="685C94F8" w14:textId="77777777" w:rsidR="007019CA" w:rsidRPr="007019CA" w:rsidRDefault="007019CA" w:rsidP="007019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(специальность, квалификация);</w:t>
      </w:r>
    </w:p>
    <w:p w14:paraId="42CBD4E5" w14:textId="77777777" w:rsidR="007019CA" w:rsidRPr="007019CA" w:rsidRDefault="007019CA" w:rsidP="007019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данные, адрес места жительства, дата регистрации по месту жительства; </w:t>
      </w:r>
    </w:p>
    <w:p w14:paraId="20B33720" w14:textId="77777777" w:rsidR="007019CA" w:rsidRPr="007019CA" w:rsidRDefault="007019CA" w:rsidP="007019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телефона; </w:t>
      </w:r>
    </w:p>
    <w:p w14:paraId="1656899D" w14:textId="77777777" w:rsidR="007019CA" w:rsidRPr="007019CA" w:rsidRDefault="007019CA" w:rsidP="007019C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10EA0E5A" w14:textId="77777777" w:rsidR="007019CA" w:rsidRPr="007019CA" w:rsidRDefault="007019CA" w:rsidP="007019C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обработки персональных данных: проведение общественных обсуждений.</w:t>
      </w:r>
    </w:p>
    <w:p w14:paraId="7E353CA7" w14:textId="77777777" w:rsidR="007019CA" w:rsidRPr="007019CA" w:rsidRDefault="007019CA" w:rsidP="007019C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5B64C814" w14:textId="77777777" w:rsidR="007019CA" w:rsidRPr="007019CA" w:rsidRDefault="007019CA" w:rsidP="007019C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Согласие на обработку моих персональных данных действует на срок проведения общественных обсуждений.</w:t>
      </w:r>
    </w:p>
    <w:p w14:paraId="445C9962" w14:textId="77777777" w:rsidR="007019CA" w:rsidRDefault="007019CA" w:rsidP="007019C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2F751095" w14:textId="77777777" w:rsidR="00206B70" w:rsidRDefault="00206B70" w:rsidP="007019C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09DEA6" w14:textId="77777777" w:rsidR="00206B70" w:rsidRPr="007019CA" w:rsidRDefault="00206B70" w:rsidP="007019C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AF5AD3" w14:textId="77777777" w:rsidR="007019CA" w:rsidRPr="007019CA" w:rsidRDefault="007019CA" w:rsidP="007019CA">
      <w:pPr>
        <w:tabs>
          <w:tab w:val="left" w:pos="772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"___"__________20__г.                                                             ______________(подпись)</w:t>
      </w:r>
    </w:p>
    <w:p w14:paraId="443C264C" w14:textId="77777777" w:rsidR="007019CA" w:rsidRPr="007019CA" w:rsidRDefault="007019CA" w:rsidP="007019C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295FCB0" w14:textId="77777777" w:rsidR="007019CA" w:rsidRPr="007019CA" w:rsidRDefault="007019CA" w:rsidP="007019CA">
      <w:pPr>
        <w:spacing w:after="360"/>
        <w:jc w:val="center"/>
        <w:outlineLvl w:val="0"/>
        <w:rPr>
          <w:rFonts w:ascii="XO Thames" w:eastAsia="Times New Roman" w:hAnsi="XO Thames" w:cs="Arial"/>
          <w:b/>
          <w:color w:val="000000"/>
          <w:sz w:val="24"/>
          <w:szCs w:val="24"/>
          <w:lang w:eastAsia="ru-RU"/>
        </w:rPr>
      </w:pPr>
    </w:p>
    <w:p w14:paraId="5F0BC5ED" w14:textId="77777777" w:rsidR="007019CA" w:rsidRPr="007019CA" w:rsidRDefault="007019CA" w:rsidP="007019CA">
      <w:pPr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</w:p>
    <w:p w14:paraId="61B4F4B4" w14:textId="77777777" w:rsidR="007019CA" w:rsidRPr="007019CA" w:rsidRDefault="007019CA" w:rsidP="007019CA">
      <w:pPr>
        <w:spacing w:after="0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</w:p>
    <w:p w14:paraId="761C94E6" w14:textId="77777777"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418930E5" w14:textId="77777777" w:rsidR="006D6D2F" w:rsidRPr="00377F5F" w:rsidRDefault="006D6D2F" w:rsidP="006D6D2F">
      <w:pPr>
        <w:spacing w:after="0"/>
        <w:rPr>
          <w:rFonts w:ascii="Times New Roman" w:hAnsi="Times New Roman" w:cs="Times New Roman"/>
          <w:sz w:val="28"/>
        </w:rPr>
      </w:pPr>
    </w:p>
    <w:sectPr w:rsidR="006D6D2F" w:rsidRPr="00377F5F" w:rsidSect="00206B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C88E9" w14:textId="77777777" w:rsidR="001D247A" w:rsidRDefault="001D247A" w:rsidP="007019CA">
      <w:pPr>
        <w:spacing w:after="0" w:line="240" w:lineRule="auto"/>
      </w:pPr>
      <w:r>
        <w:separator/>
      </w:r>
    </w:p>
  </w:endnote>
  <w:endnote w:type="continuationSeparator" w:id="0">
    <w:p w14:paraId="78EB80C7" w14:textId="77777777" w:rsidR="001D247A" w:rsidRDefault="001D247A" w:rsidP="0070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5860D" w14:textId="77777777" w:rsidR="001D247A" w:rsidRDefault="001D247A" w:rsidP="007019CA">
      <w:pPr>
        <w:spacing w:after="0" w:line="240" w:lineRule="auto"/>
      </w:pPr>
      <w:r>
        <w:separator/>
      </w:r>
    </w:p>
  </w:footnote>
  <w:footnote w:type="continuationSeparator" w:id="0">
    <w:p w14:paraId="2BC45CC5" w14:textId="77777777" w:rsidR="001D247A" w:rsidRDefault="001D247A" w:rsidP="007019CA">
      <w:pPr>
        <w:spacing w:after="0" w:line="240" w:lineRule="auto"/>
      </w:pPr>
      <w:r>
        <w:continuationSeparator/>
      </w:r>
    </w:p>
  </w:footnote>
  <w:footnote w:id="1">
    <w:p w14:paraId="3E78228B" w14:textId="77777777" w:rsidR="007019CA" w:rsidRDefault="007019CA" w:rsidP="007019CA">
      <w:pPr>
        <w:pStyle w:val="Footnote"/>
        <w:jc w:val="both"/>
        <w:rPr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31DA"/>
    <w:multiLevelType w:val="hybridMultilevel"/>
    <w:tmpl w:val="4C70F180"/>
    <w:lvl w:ilvl="0" w:tplc="6E7C1FA0">
      <w:start w:val="1"/>
      <w:numFmt w:val="decimal"/>
      <w:lvlText w:val="%1)"/>
      <w:lvlJc w:val="left"/>
      <w:pPr>
        <w:ind w:left="239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86F0E">
      <w:numFmt w:val="bullet"/>
      <w:lvlText w:val="•"/>
      <w:lvlJc w:val="left"/>
      <w:pPr>
        <w:ind w:left="1188" w:hanging="581"/>
      </w:pPr>
      <w:rPr>
        <w:rFonts w:hint="default"/>
        <w:lang w:val="ru-RU" w:eastAsia="en-US" w:bidi="ar-SA"/>
      </w:rPr>
    </w:lvl>
    <w:lvl w:ilvl="2" w:tplc="FA7AA478">
      <w:numFmt w:val="bullet"/>
      <w:lvlText w:val="•"/>
      <w:lvlJc w:val="left"/>
      <w:pPr>
        <w:ind w:left="2137" w:hanging="581"/>
      </w:pPr>
      <w:rPr>
        <w:rFonts w:hint="default"/>
        <w:lang w:val="ru-RU" w:eastAsia="en-US" w:bidi="ar-SA"/>
      </w:rPr>
    </w:lvl>
    <w:lvl w:ilvl="3" w:tplc="42484B08">
      <w:numFmt w:val="bullet"/>
      <w:lvlText w:val="•"/>
      <w:lvlJc w:val="left"/>
      <w:pPr>
        <w:ind w:left="3085" w:hanging="581"/>
      </w:pPr>
      <w:rPr>
        <w:rFonts w:hint="default"/>
        <w:lang w:val="ru-RU" w:eastAsia="en-US" w:bidi="ar-SA"/>
      </w:rPr>
    </w:lvl>
    <w:lvl w:ilvl="4" w:tplc="C2BC54EA">
      <w:numFmt w:val="bullet"/>
      <w:lvlText w:val="•"/>
      <w:lvlJc w:val="left"/>
      <w:pPr>
        <w:ind w:left="4034" w:hanging="581"/>
      </w:pPr>
      <w:rPr>
        <w:rFonts w:hint="default"/>
        <w:lang w:val="ru-RU" w:eastAsia="en-US" w:bidi="ar-SA"/>
      </w:rPr>
    </w:lvl>
    <w:lvl w:ilvl="5" w:tplc="197E7B2E">
      <w:numFmt w:val="bullet"/>
      <w:lvlText w:val="•"/>
      <w:lvlJc w:val="left"/>
      <w:pPr>
        <w:ind w:left="4983" w:hanging="581"/>
      </w:pPr>
      <w:rPr>
        <w:rFonts w:hint="default"/>
        <w:lang w:val="ru-RU" w:eastAsia="en-US" w:bidi="ar-SA"/>
      </w:rPr>
    </w:lvl>
    <w:lvl w:ilvl="6" w:tplc="384E6C8E">
      <w:numFmt w:val="bullet"/>
      <w:lvlText w:val="•"/>
      <w:lvlJc w:val="left"/>
      <w:pPr>
        <w:ind w:left="5931" w:hanging="581"/>
      </w:pPr>
      <w:rPr>
        <w:rFonts w:hint="default"/>
        <w:lang w:val="ru-RU" w:eastAsia="en-US" w:bidi="ar-SA"/>
      </w:rPr>
    </w:lvl>
    <w:lvl w:ilvl="7" w:tplc="0C0EB1AC">
      <w:numFmt w:val="bullet"/>
      <w:lvlText w:val="•"/>
      <w:lvlJc w:val="left"/>
      <w:pPr>
        <w:ind w:left="6880" w:hanging="581"/>
      </w:pPr>
      <w:rPr>
        <w:rFonts w:hint="default"/>
        <w:lang w:val="ru-RU" w:eastAsia="en-US" w:bidi="ar-SA"/>
      </w:rPr>
    </w:lvl>
    <w:lvl w:ilvl="8" w:tplc="AD2E60D8">
      <w:numFmt w:val="bullet"/>
      <w:lvlText w:val="•"/>
      <w:lvlJc w:val="left"/>
      <w:pPr>
        <w:ind w:left="7828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0BA26E7F"/>
    <w:multiLevelType w:val="hybridMultilevel"/>
    <w:tmpl w:val="ABC2AE0A"/>
    <w:lvl w:ilvl="0" w:tplc="54629098">
      <w:start w:val="1"/>
      <w:numFmt w:val="decimal"/>
      <w:lvlText w:val="%1)"/>
      <w:lvlJc w:val="left"/>
      <w:pPr>
        <w:ind w:left="239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E649A">
      <w:numFmt w:val="bullet"/>
      <w:lvlText w:val="•"/>
      <w:lvlJc w:val="left"/>
      <w:pPr>
        <w:ind w:left="1188" w:hanging="424"/>
      </w:pPr>
      <w:rPr>
        <w:rFonts w:hint="default"/>
        <w:lang w:val="ru-RU" w:eastAsia="en-US" w:bidi="ar-SA"/>
      </w:rPr>
    </w:lvl>
    <w:lvl w:ilvl="2" w:tplc="E418E9A8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 w:tplc="979CC13E">
      <w:numFmt w:val="bullet"/>
      <w:lvlText w:val="•"/>
      <w:lvlJc w:val="left"/>
      <w:pPr>
        <w:ind w:left="3085" w:hanging="424"/>
      </w:pPr>
      <w:rPr>
        <w:rFonts w:hint="default"/>
        <w:lang w:val="ru-RU" w:eastAsia="en-US" w:bidi="ar-SA"/>
      </w:rPr>
    </w:lvl>
    <w:lvl w:ilvl="4" w:tplc="1DDA761A">
      <w:numFmt w:val="bullet"/>
      <w:lvlText w:val="•"/>
      <w:lvlJc w:val="left"/>
      <w:pPr>
        <w:ind w:left="4034" w:hanging="424"/>
      </w:pPr>
      <w:rPr>
        <w:rFonts w:hint="default"/>
        <w:lang w:val="ru-RU" w:eastAsia="en-US" w:bidi="ar-SA"/>
      </w:rPr>
    </w:lvl>
    <w:lvl w:ilvl="5" w:tplc="69A2F74A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 w:tplc="783E5548">
      <w:numFmt w:val="bullet"/>
      <w:lvlText w:val="•"/>
      <w:lvlJc w:val="left"/>
      <w:pPr>
        <w:ind w:left="5931" w:hanging="424"/>
      </w:pPr>
      <w:rPr>
        <w:rFonts w:hint="default"/>
        <w:lang w:val="ru-RU" w:eastAsia="en-US" w:bidi="ar-SA"/>
      </w:rPr>
    </w:lvl>
    <w:lvl w:ilvl="7" w:tplc="1E5E8770">
      <w:numFmt w:val="bullet"/>
      <w:lvlText w:val="•"/>
      <w:lvlJc w:val="left"/>
      <w:pPr>
        <w:ind w:left="6880" w:hanging="424"/>
      </w:pPr>
      <w:rPr>
        <w:rFonts w:hint="default"/>
        <w:lang w:val="ru-RU" w:eastAsia="en-US" w:bidi="ar-SA"/>
      </w:rPr>
    </w:lvl>
    <w:lvl w:ilvl="8" w:tplc="5D1C69B4">
      <w:numFmt w:val="bullet"/>
      <w:lvlText w:val="•"/>
      <w:lvlJc w:val="left"/>
      <w:pPr>
        <w:ind w:left="7828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0D163A39"/>
    <w:multiLevelType w:val="hybridMultilevel"/>
    <w:tmpl w:val="97B81074"/>
    <w:lvl w:ilvl="0" w:tplc="88ACB3EE">
      <w:start w:val="3"/>
      <w:numFmt w:val="decimal"/>
      <w:lvlText w:val="%1"/>
      <w:lvlJc w:val="left"/>
      <w:pPr>
        <w:ind w:left="239" w:hanging="749"/>
      </w:pPr>
      <w:rPr>
        <w:rFonts w:hint="default"/>
        <w:lang w:val="ru-RU" w:eastAsia="en-US" w:bidi="ar-SA"/>
      </w:rPr>
    </w:lvl>
    <w:lvl w:ilvl="1" w:tplc="4EDA50AE">
      <w:numFmt w:val="none"/>
      <w:lvlText w:val=""/>
      <w:lvlJc w:val="left"/>
      <w:pPr>
        <w:tabs>
          <w:tab w:val="num" w:pos="360"/>
        </w:tabs>
      </w:pPr>
    </w:lvl>
    <w:lvl w:ilvl="2" w:tplc="822E9C84">
      <w:numFmt w:val="none"/>
      <w:lvlText w:val=""/>
      <w:lvlJc w:val="left"/>
      <w:pPr>
        <w:tabs>
          <w:tab w:val="num" w:pos="360"/>
        </w:tabs>
      </w:pPr>
    </w:lvl>
    <w:lvl w:ilvl="3" w:tplc="F26A7984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 w:tplc="4AD89C20">
      <w:numFmt w:val="bullet"/>
      <w:lvlText w:val="•"/>
      <w:lvlJc w:val="left"/>
      <w:pPr>
        <w:ind w:left="4034" w:hanging="749"/>
      </w:pPr>
      <w:rPr>
        <w:rFonts w:hint="default"/>
        <w:lang w:val="ru-RU" w:eastAsia="en-US" w:bidi="ar-SA"/>
      </w:rPr>
    </w:lvl>
    <w:lvl w:ilvl="5" w:tplc="E7ECD0DA">
      <w:numFmt w:val="bullet"/>
      <w:lvlText w:val="•"/>
      <w:lvlJc w:val="left"/>
      <w:pPr>
        <w:ind w:left="4983" w:hanging="749"/>
      </w:pPr>
      <w:rPr>
        <w:rFonts w:hint="default"/>
        <w:lang w:val="ru-RU" w:eastAsia="en-US" w:bidi="ar-SA"/>
      </w:rPr>
    </w:lvl>
    <w:lvl w:ilvl="6" w:tplc="EA66088A">
      <w:numFmt w:val="bullet"/>
      <w:lvlText w:val="•"/>
      <w:lvlJc w:val="left"/>
      <w:pPr>
        <w:ind w:left="5931" w:hanging="749"/>
      </w:pPr>
      <w:rPr>
        <w:rFonts w:hint="default"/>
        <w:lang w:val="ru-RU" w:eastAsia="en-US" w:bidi="ar-SA"/>
      </w:rPr>
    </w:lvl>
    <w:lvl w:ilvl="7" w:tplc="EBFCB8A4">
      <w:numFmt w:val="bullet"/>
      <w:lvlText w:val="•"/>
      <w:lvlJc w:val="left"/>
      <w:pPr>
        <w:ind w:left="6880" w:hanging="749"/>
      </w:pPr>
      <w:rPr>
        <w:rFonts w:hint="default"/>
        <w:lang w:val="ru-RU" w:eastAsia="en-US" w:bidi="ar-SA"/>
      </w:rPr>
    </w:lvl>
    <w:lvl w:ilvl="8" w:tplc="EF0AE44E">
      <w:numFmt w:val="bullet"/>
      <w:lvlText w:val="•"/>
      <w:lvlJc w:val="left"/>
      <w:pPr>
        <w:ind w:left="7828" w:hanging="749"/>
      </w:pPr>
      <w:rPr>
        <w:rFonts w:hint="default"/>
        <w:lang w:val="ru-RU" w:eastAsia="en-US" w:bidi="ar-SA"/>
      </w:rPr>
    </w:lvl>
  </w:abstractNum>
  <w:abstractNum w:abstractNumId="3" w15:restartNumberingAfterBreak="0">
    <w:nsid w:val="16975FAC"/>
    <w:multiLevelType w:val="hybridMultilevel"/>
    <w:tmpl w:val="368290C8"/>
    <w:lvl w:ilvl="0" w:tplc="D6D2E882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4ABAA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0FC66F04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6464BDC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A08811E8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3BBAA462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B5BEB8CA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93187EA8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66287EE8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4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9851AE"/>
    <w:multiLevelType w:val="hybridMultilevel"/>
    <w:tmpl w:val="43DC9DC4"/>
    <w:lvl w:ilvl="0" w:tplc="D878F2BC">
      <w:start w:val="3"/>
      <w:numFmt w:val="decimal"/>
      <w:lvlText w:val="%1"/>
      <w:lvlJc w:val="left"/>
      <w:pPr>
        <w:ind w:left="239" w:hanging="928"/>
      </w:pPr>
      <w:rPr>
        <w:rFonts w:hint="default"/>
        <w:lang w:val="ru-RU" w:eastAsia="en-US" w:bidi="ar-SA"/>
      </w:rPr>
    </w:lvl>
    <w:lvl w:ilvl="1" w:tplc="E0CEED5A">
      <w:numFmt w:val="none"/>
      <w:lvlText w:val=""/>
      <w:lvlJc w:val="left"/>
      <w:pPr>
        <w:tabs>
          <w:tab w:val="num" w:pos="360"/>
        </w:tabs>
      </w:pPr>
    </w:lvl>
    <w:lvl w:ilvl="2" w:tplc="36FE05D0">
      <w:numFmt w:val="none"/>
      <w:lvlText w:val=""/>
      <w:lvlJc w:val="left"/>
      <w:pPr>
        <w:tabs>
          <w:tab w:val="num" w:pos="360"/>
        </w:tabs>
      </w:pPr>
    </w:lvl>
    <w:lvl w:ilvl="3" w:tplc="7DC8CA9E">
      <w:numFmt w:val="bullet"/>
      <w:lvlText w:val="•"/>
      <w:lvlJc w:val="left"/>
      <w:pPr>
        <w:ind w:left="3085" w:hanging="928"/>
      </w:pPr>
      <w:rPr>
        <w:rFonts w:hint="default"/>
        <w:lang w:val="ru-RU" w:eastAsia="en-US" w:bidi="ar-SA"/>
      </w:rPr>
    </w:lvl>
    <w:lvl w:ilvl="4" w:tplc="C3FAEDA2">
      <w:numFmt w:val="bullet"/>
      <w:lvlText w:val="•"/>
      <w:lvlJc w:val="left"/>
      <w:pPr>
        <w:ind w:left="4034" w:hanging="928"/>
      </w:pPr>
      <w:rPr>
        <w:rFonts w:hint="default"/>
        <w:lang w:val="ru-RU" w:eastAsia="en-US" w:bidi="ar-SA"/>
      </w:rPr>
    </w:lvl>
    <w:lvl w:ilvl="5" w:tplc="EA127C9E">
      <w:numFmt w:val="bullet"/>
      <w:lvlText w:val="•"/>
      <w:lvlJc w:val="left"/>
      <w:pPr>
        <w:ind w:left="4983" w:hanging="928"/>
      </w:pPr>
      <w:rPr>
        <w:rFonts w:hint="default"/>
        <w:lang w:val="ru-RU" w:eastAsia="en-US" w:bidi="ar-SA"/>
      </w:rPr>
    </w:lvl>
    <w:lvl w:ilvl="6" w:tplc="524A3714">
      <w:numFmt w:val="bullet"/>
      <w:lvlText w:val="•"/>
      <w:lvlJc w:val="left"/>
      <w:pPr>
        <w:ind w:left="5931" w:hanging="928"/>
      </w:pPr>
      <w:rPr>
        <w:rFonts w:hint="default"/>
        <w:lang w:val="ru-RU" w:eastAsia="en-US" w:bidi="ar-SA"/>
      </w:rPr>
    </w:lvl>
    <w:lvl w:ilvl="7" w:tplc="515CAE42">
      <w:numFmt w:val="bullet"/>
      <w:lvlText w:val="•"/>
      <w:lvlJc w:val="left"/>
      <w:pPr>
        <w:ind w:left="6880" w:hanging="928"/>
      </w:pPr>
      <w:rPr>
        <w:rFonts w:hint="default"/>
        <w:lang w:val="ru-RU" w:eastAsia="en-US" w:bidi="ar-SA"/>
      </w:rPr>
    </w:lvl>
    <w:lvl w:ilvl="8" w:tplc="8A1003A2">
      <w:numFmt w:val="bullet"/>
      <w:lvlText w:val="•"/>
      <w:lvlJc w:val="left"/>
      <w:pPr>
        <w:ind w:left="7828" w:hanging="928"/>
      </w:pPr>
      <w:rPr>
        <w:rFonts w:hint="default"/>
        <w:lang w:val="ru-RU" w:eastAsia="en-US" w:bidi="ar-SA"/>
      </w:rPr>
    </w:lvl>
  </w:abstractNum>
  <w:abstractNum w:abstractNumId="6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42D94"/>
    <w:multiLevelType w:val="hybridMultilevel"/>
    <w:tmpl w:val="716CD238"/>
    <w:lvl w:ilvl="0" w:tplc="52F632B6">
      <w:start w:val="3"/>
      <w:numFmt w:val="decimal"/>
      <w:lvlText w:val="%1"/>
      <w:lvlJc w:val="left"/>
      <w:pPr>
        <w:ind w:left="239" w:hanging="787"/>
      </w:pPr>
      <w:rPr>
        <w:rFonts w:hint="default"/>
        <w:lang w:val="ru-RU" w:eastAsia="en-US" w:bidi="ar-SA"/>
      </w:rPr>
    </w:lvl>
    <w:lvl w:ilvl="1" w:tplc="F41EC470">
      <w:numFmt w:val="none"/>
      <w:lvlText w:val=""/>
      <w:lvlJc w:val="left"/>
      <w:pPr>
        <w:tabs>
          <w:tab w:val="num" w:pos="360"/>
        </w:tabs>
      </w:pPr>
    </w:lvl>
    <w:lvl w:ilvl="2" w:tplc="9642ED78">
      <w:numFmt w:val="none"/>
      <w:lvlText w:val=""/>
      <w:lvlJc w:val="left"/>
      <w:pPr>
        <w:tabs>
          <w:tab w:val="num" w:pos="360"/>
        </w:tabs>
      </w:pPr>
    </w:lvl>
    <w:lvl w:ilvl="3" w:tplc="D646E23A">
      <w:numFmt w:val="bullet"/>
      <w:lvlText w:val="•"/>
      <w:lvlJc w:val="left"/>
      <w:pPr>
        <w:ind w:left="3085" w:hanging="787"/>
      </w:pPr>
      <w:rPr>
        <w:rFonts w:hint="default"/>
        <w:lang w:val="ru-RU" w:eastAsia="en-US" w:bidi="ar-SA"/>
      </w:rPr>
    </w:lvl>
    <w:lvl w:ilvl="4" w:tplc="8340AD92">
      <w:numFmt w:val="bullet"/>
      <w:lvlText w:val="•"/>
      <w:lvlJc w:val="left"/>
      <w:pPr>
        <w:ind w:left="4034" w:hanging="787"/>
      </w:pPr>
      <w:rPr>
        <w:rFonts w:hint="default"/>
        <w:lang w:val="ru-RU" w:eastAsia="en-US" w:bidi="ar-SA"/>
      </w:rPr>
    </w:lvl>
    <w:lvl w:ilvl="5" w:tplc="5B148BA4">
      <w:numFmt w:val="bullet"/>
      <w:lvlText w:val="•"/>
      <w:lvlJc w:val="left"/>
      <w:pPr>
        <w:ind w:left="4983" w:hanging="787"/>
      </w:pPr>
      <w:rPr>
        <w:rFonts w:hint="default"/>
        <w:lang w:val="ru-RU" w:eastAsia="en-US" w:bidi="ar-SA"/>
      </w:rPr>
    </w:lvl>
    <w:lvl w:ilvl="6" w:tplc="925EB24C">
      <w:numFmt w:val="bullet"/>
      <w:lvlText w:val="•"/>
      <w:lvlJc w:val="left"/>
      <w:pPr>
        <w:ind w:left="5931" w:hanging="787"/>
      </w:pPr>
      <w:rPr>
        <w:rFonts w:hint="default"/>
        <w:lang w:val="ru-RU" w:eastAsia="en-US" w:bidi="ar-SA"/>
      </w:rPr>
    </w:lvl>
    <w:lvl w:ilvl="7" w:tplc="968294DA">
      <w:numFmt w:val="bullet"/>
      <w:lvlText w:val="•"/>
      <w:lvlJc w:val="left"/>
      <w:pPr>
        <w:ind w:left="6880" w:hanging="787"/>
      </w:pPr>
      <w:rPr>
        <w:rFonts w:hint="default"/>
        <w:lang w:val="ru-RU" w:eastAsia="en-US" w:bidi="ar-SA"/>
      </w:rPr>
    </w:lvl>
    <w:lvl w:ilvl="8" w:tplc="FA1CA558">
      <w:numFmt w:val="bullet"/>
      <w:lvlText w:val="•"/>
      <w:lvlJc w:val="left"/>
      <w:pPr>
        <w:ind w:left="7828" w:hanging="787"/>
      </w:pPr>
      <w:rPr>
        <w:rFonts w:hint="default"/>
        <w:lang w:val="ru-RU" w:eastAsia="en-US" w:bidi="ar-SA"/>
      </w:rPr>
    </w:lvl>
  </w:abstractNum>
  <w:abstractNum w:abstractNumId="9" w15:restartNumberingAfterBreak="0">
    <w:nsid w:val="65163FDD"/>
    <w:multiLevelType w:val="hybridMultilevel"/>
    <w:tmpl w:val="A51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446E5"/>
    <w:multiLevelType w:val="hybridMultilevel"/>
    <w:tmpl w:val="E50EEA6E"/>
    <w:lvl w:ilvl="0" w:tplc="074C45BA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E4924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789C6A6C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15C0CA7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4C9EC2A0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23AE3090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53AC4D98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150236AC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EF4CD4C4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6AC422AC"/>
    <w:multiLevelType w:val="hybridMultilevel"/>
    <w:tmpl w:val="A0AEC0A4"/>
    <w:lvl w:ilvl="0" w:tplc="FC88BB48">
      <w:start w:val="1"/>
      <w:numFmt w:val="decimal"/>
      <w:lvlText w:val="%1)"/>
      <w:lvlJc w:val="left"/>
      <w:pPr>
        <w:ind w:left="23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8CAC6">
      <w:numFmt w:val="bullet"/>
      <w:lvlText w:val="•"/>
      <w:lvlJc w:val="left"/>
      <w:pPr>
        <w:ind w:left="1188" w:hanging="397"/>
      </w:pPr>
      <w:rPr>
        <w:rFonts w:hint="default"/>
        <w:lang w:val="ru-RU" w:eastAsia="en-US" w:bidi="ar-SA"/>
      </w:rPr>
    </w:lvl>
    <w:lvl w:ilvl="2" w:tplc="94A859A2">
      <w:numFmt w:val="bullet"/>
      <w:lvlText w:val="•"/>
      <w:lvlJc w:val="left"/>
      <w:pPr>
        <w:ind w:left="2137" w:hanging="397"/>
      </w:pPr>
      <w:rPr>
        <w:rFonts w:hint="default"/>
        <w:lang w:val="ru-RU" w:eastAsia="en-US" w:bidi="ar-SA"/>
      </w:rPr>
    </w:lvl>
    <w:lvl w:ilvl="3" w:tplc="1B3ADCF8">
      <w:numFmt w:val="bullet"/>
      <w:lvlText w:val="•"/>
      <w:lvlJc w:val="left"/>
      <w:pPr>
        <w:ind w:left="3085" w:hanging="397"/>
      </w:pPr>
      <w:rPr>
        <w:rFonts w:hint="default"/>
        <w:lang w:val="ru-RU" w:eastAsia="en-US" w:bidi="ar-SA"/>
      </w:rPr>
    </w:lvl>
    <w:lvl w:ilvl="4" w:tplc="A2E0142E">
      <w:numFmt w:val="bullet"/>
      <w:lvlText w:val="•"/>
      <w:lvlJc w:val="left"/>
      <w:pPr>
        <w:ind w:left="4034" w:hanging="397"/>
      </w:pPr>
      <w:rPr>
        <w:rFonts w:hint="default"/>
        <w:lang w:val="ru-RU" w:eastAsia="en-US" w:bidi="ar-SA"/>
      </w:rPr>
    </w:lvl>
    <w:lvl w:ilvl="5" w:tplc="7ACC4D9E">
      <w:numFmt w:val="bullet"/>
      <w:lvlText w:val="•"/>
      <w:lvlJc w:val="left"/>
      <w:pPr>
        <w:ind w:left="4983" w:hanging="397"/>
      </w:pPr>
      <w:rPr>
        <w:rFonts w:hint="default"/>
        <w:lang w:val="ru-RU" w:eastAsia="en-US" w:bidi="ar-SA"/>
      </w:rPr>
    </w:lvl>
    <w:lvl w:ilvl="6" w:tplc="F4C01450">
      <w:numFmt w:val="bullet"/>
      <w:lvlText w:val="•"/>
      <w:lvlJc w:val="left"/>
      <w:pPr>
        <w:ind w:left="5931" w:hanging="397"/>
      </w:pPr>
      <w:rPr>
        <w:rFonts w:hint="default"/>
        <w:lang w:val="ru-RU" w:eastAsia="en-US" w:bidi="ar-SA"/>
      </w:rPr>
    </w:lvl>
    <w:lvl w:ilvl="7" w:tplc="A760ACCC">
      <w:numFmt w:val="bullet"/>
      <w:lvlText w:val="•"/>
      <w:lvlJc w:val="left"/>
      <w:pPr>
        <w:ind w:left="6880" w:hanging="397"/>
      </w:pPr>
      <w:rPr>
        <w:rFonts w:hint="default"/>
        <w:lang w:val="ru-RU" w:eastAsia="en-US" w:bidi="ar-SA"/>
      </w:rPr>
    </w:lvl>
    <w:lvl w:ilvl="8" w:tplc="8850D6BE">
      <w:numFmt w:val="bullet"/>
      <w:lvlText w:val="•"/>
      <w:lvlJc w:val="left"/>
      <w:pPr>
        <w:ind w:left="7828" w:hanging="397"/>
      </w:pPr>
      <w:rPr>
        <w:rFonts w:hint="default"/>
        <w:lang w:val="ru-RU" w:eastAsia="en-US" w:bidi="ar-SA"/>
      </w:rPr>
    </w:lvl>
  </w:abstractNum>
  <w:abstractNum w:abstractNumId="12" w15:restartNumberingAfterBreak="0">
    <w:nsid w:val="6E115E1D"/>
    <w:multiLevelType w:val="hybridMultilevel"/>
    <w:tmpl w:val="DF4285EC"/>
    <w:lvl w:ilvl="0" w:tplc="282ED20C">
      <w:start w:val="2"/>
      <w:numFmt w:val="decimal"/>
      <w:lvlText w:val="%1"/>
      <w:lvlJc w:val="left"/>
      <w:pPr>
        <w:ind w:left="239" w:hanging="499"/>
      </w:pPr>
      <w:rPr>
        <w:rFonts w:hint="default"/>
        <w:lang w:val="ru-RU" w:eastAsia="en-US" w:bidi="ar-SA"/>
      </w:rPr>
    </w:lvl>
    <w:lvl w:ilvl="1" w:tplc="96EC4728">
      <w:numFmt w:val="none"/>
      <w:lvlText w:val=""/>
      <w:lvlJc w:val="left"/>
      <w:pPr>
        <w:tabs>
          <w:tab w:val="num" w:pos="360"/>
        </w:tabs>
      </w:pPr>
    </w:lvl>
    <w:lvl w:ilvl="2" w:tplc="5BD8C994">
      <w:numFmt w:val="bullet"/>
      <w:lvlText w:val="•"/>
      <w:lvlJc w:val="left"/>
      <w:pPr>
        <w:ind w:left="2137" w:hanging="499"/>
      </w:pPr>
      <w:rPr>
        <w:rFonts w:hint="default"/>
        <w:lang w:val="ru-RU" w:eastAsia="en-US" w:bidi="ar-SA"/>
      </w:rPr>
    </w:lvl>
    <w:lvl w:ilvl="3" w:tplc="A8EE2832">
      <w:numFmt w:val="bullet"/>
      <w:lvlText w:val="•"/>
      <w:lvlJc w:val="left"/>
      <w:pPr>
        <w:ind w:left="3085" w:hanging="499"/>
      </w:pPr>
      <w:rPr>
        <w:rFonts w:hint="default"/>
        <w:lang w:val="ru-RU" w:eastAsia="en-US" w:bidi="ar-SA"/>
      </w:rPr>
    </w:lvl>
    <w:lvl w:ilvl="4" w:tplc="7750DBAE">
      <w:numFmt w:val="bullet"/>
      <w:lvlText w:val="•"/>
      <w:lvlJc w:val="left"/>
      <w:pPr>
        <w:ind w:left="4034" w:hanging="499"/>
      </w:pPr>
      <w:rPr>
        <w:rFonts w:hint="default"/>
        <w:lang w:val="ru-RU" w:eastAsia="en-US" w:bidi="ar-SA"/>
      </w:rPr>
    </w:lvl>
    <w:lvl w:ilvl="5" w:tplc="5142D4EC">
      <w:numFmt w:val="bullet"/>
      <w:lvlText w:val="•"/>
      <w:lvlJc w:val="left"/>
      <w:pPr>
        <w:ind w:left="4983" w:hanging="499"/>
      </w:pPr>
      <w:rPr>
        <w:rFonts w:hint="default"/>
        <w:lang w:val="ru-RU" w:eastAsia="en-US" w:bidi="ar-SA"/>
      </w:rPr>
    </w:lvl>
    <w:lvl w:ilvl="6" w:tplc="E2E40966">
      <w:numFmt w:val="bullet"/>
      <w:lvlText w:val="•"/>
      <w:lvlJc w:val="left"/>
      <w:pPr>
        <w:ind w:left="5931" w:hanging="499"/>
      </w:pPr>
      <w:rPr>
        <w:rFonts w:hint="default"/>
        <w:lang w:val="ru-RU" w:eastAsia="en-US" w:bidi="ar-SA"/>
      </w:rPr>
    </w:lvl>
    <w:lvl w:ilvl="7" w:tplc="CF5814A6">
      <w:numFmt w:val="bullet"/>
      <w:lvlText w:val="•"/>
      <w:lvlJc w:val="left"/>
      <w:pPr>
        <w:ind w:left="6880" w:hanging="499"/>
      </w:pPr>
      <w:rPr>
        <w:rFonts w:hint="default"/>
        <w:lang w:val="ru-RU" w:eastAsia="en-US" w:bidi="ar-SA"/>
      </w:rPr>
    </w:lvl>
    <w:lvl w:ilvl="8" w:tplc="6A54A1E8">
      <w:numFmt w:val="bullet"/>
      <w:lvlText w:val="•"/>
      <w:lvlJc w:val="left"/>
      <w:pPr>
        <w:ind w:left="7828" w:hanging="499"/>
      </w:pPr>
      <w:rPr>
        <w:rFonts w:hint="default"/>
        <w:lang w:val="ru-RU" w:eastAsia="en-US" w:bidi="ar-SA"/>
      </w:rPr>
    </w:lvl>
  </w:abstractNum>
  <w:abstractNum w:abstractNumId="13" w15:restartNumberingAfterBreak="0">
    <w:nsid w:val="6F857FDC"/>
    <w:multiLevelType w:val="hybridMultilevel"/>
    <w:tmpl w:val="BD3EA2D8"/>
    <w:lvl w:ilvl="0" w:tplc="E462302C">
      <w:start w:val="1"/>
      <w:numFmt w:val="decimal"/>
      <w:lvlText w:val="%1"/>
      <w:lvlJc w:val="left"/>
      <w:pPr>
        <w:ind w:left="239" w:hanging="576"/>
      </w:pPr>
      <w:rPr>
        <w:rFonts w:hint="default"/>
        <w:lang w:val="ru-RU" w:eastAsia="en-US" w:bidi="ar-SA"/>
      </w:rPr>
    </w:lvl>
    <w:lvl w:ilvl="1" w:tplc="4C8AD9F6">
      <w:numFmt w:val="none"/>
      <w:lvlText w:val=""/>
      <w:lvlJc w:val="left"/>
      <w:pPr>
        <w:tabs>
          <w:tab w:val="num" w:pos="360"/>
        </w:tabs>
      </w:pPr>
    </w:lvl>
    <w:lvl w:ilvl="2" w:tplc="5BC61E20">
      <w:numFmt w:val="none"/>
      <w:lvlText w:val=""/>
      <w:lvlJc w:val="left"/>
      <w:pPr>
        <w:tabs>
          <w:tab w:val="num" w:pos="360"/>
        </w:tabs>
      </w:pPr>
    </w:lvl>
    <w:lvl w:ilvl="3" w:tplc="052CD90A">
      <w:numFmt w:val="bullet"/>
      <w:lvlText w:val="•"/>
      <w:lvlJc w:val="left"/>
      <w:pPr>
        <w:ind w:left="3545" w:hanging="736"/>
      </w:pPr>
      <w:rPr>
        <w:rFonts w:hint="default"/>
        <w:lang w:val="ru-RU" w:eastAsia="en-US" w:bidi="ar-SA"/>
      </w:rPr>
    </w:lvl>
    <w:lvl w:ilvl="4" w:tplc="D05E5800">
      <w:numFmt w:val="bullet"/>
      <w:lvlText w:val="•"/>
      <w:lvlJc w:val="left"/>
      <w:pPr>
        <w:ind w:left="4428" w:hanging="736"/>
      </w:pPr>
      <w:rPr>
        <w:rFonts w:hint="default"/>
        <w:lang w:val="ru-RU" w:eastAsia="en-US" w:bidi="ar-SA"/>
      </w:rPr>
    </w:lvl>
    <w:lvl w:ilvl="5" w:tplc="677A2748">
      <w:numFmt w:val="bullet"/>
      <w:lvlText w:val="•"/>
      <w:lvlJc w:val="left"/>
      <w:pPr>
        <w:ind w:left="5311" w:hanging="736"/>
      </w:pPr>
      <w:rPr>
        <w:rFonts w:hint="default"/>
        <w:lang w:val="ru-RU" w:eastAsia="en-US" w:bidi="ar-SA"/>
      </w:rPr>
    </w:lvl>
    <w:lvl w:ilvl="6" w:tplc="48ECE34E">
      <w:numFmt w:val="bullet"/>
      <w:lvlText w:val="•"/>
      <w:lvlJc w:val="left"/>
      <w:pPr>
        <w:ind w:left="6194" w:hanging="736"/>
      </w:pPr>
      <w:rPr>
        <w:rFonts w:hint="default"/>
        <w:lang w:val="ru-RU" w:eastAsia="en-US" w:bidi="ar-SA"/>
      </w:rPr>
    </w:lvl>
    <w:lvl w:ilvl="7" w:tplc="E35AA63A">
      <w:numFmt w:val="bullet"/>
      <w:lvlText w:val="•"/>
      <w:lvlJc w:val="left"/>
      <w:pPr>
        <w:ind w:left="7077" w:hanging="736"/>
      </w:pPr>
      <w:rPr>
        <w:rFonts w:hint="default"/>
        <w:lang w:val="ru-RU" w:eastAsia="en-US" w:bidi="ar-SA"/>
      </w:rPr>
    </w:lvl>
    <w:lvl w:ilvl="8" w:tplc="7A72CDA4">
      <w:numFmt w:val="bullet"/>
      <w:lvlText w:val="•"/>
      <w:lvlJc w:val="left"/>
      <w:pPr>
        <w:ind w:left="7960" w:hanging="736"/>
      </w:pPr>
      <w:rPr>
        <w:rFonts w:hint="default"/>
        <w:lang w:val="ru-RU" w:eastAsia="en-US" w:bidi="ar-SA"/>
      </w:rPr>
    </w:lvl>
  </w:abstractNum>
  <w:abstractNum w:abstractNumId="14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56434D"/>
    <w:multiLevelType w:val="hybridMultilevel"/>
    <w:tmpl w:val="26B43DD6"/>
    <w:lvl w:ilvl="0" w:tplc="89249B28">
      <w:start w:val="3"/>
      <w:numFmt w:val="decimal"/>
      <w:lvlText w:val="%1"/>
      <w:lvlJc w:val="left"/>
      <w:pPr>
        <w:ind w:left="1064" w:hanging="490"/>
      </w:pPr>
      <w:rPr>
        <w:rFonts w:hint="default"/>
        <w:lang w:val="ru-RU" w:eastAsia="en-US" w:bidi="ar-SA"/>
      </w:rPr>
    </w:lvl>
    <w:lvl w:ilvl="1" w:tplc="D5629246">
      <w:numFmt w:val="none"/>
      <w:lvlText w:val=""/>
      <w:lvlJc w:val="left"/>
      <w:pPr>
        <w:tabs>
          <w:tab w:val="num" w:pos="360"/>
        </w:tabs>
      </w:pPr>
    </w:lvl>
    <w:lvl w:ilvl="2" w:tplc="2E840230">
      <w:numFmt w:val="none"/>
      <w:lvlText w:val=""/>
      <w:lvlJc w:val="left"/>
      <w:pPr>
        <w:tabs>
          <w:tab w:val="num" w:pos="360"/>
        </w:tabs>
      </w:pPr>
    </w:lvl>
    <w:lvl w:ilvl="3" w:tplc="52529D38">
      <w:numFmt w:val="bullet"/>
      <w:lvlText w:val="•"/>
      <w:lvlJc w:val="left"/>
      <w:pPr>
        <w:ind w:left="2985" w:hanging="1066"/>
      </w:pPr>
      <w:rPr>
        <w:rFonts w:hint="default"/>
        <w:lang w:val="ru-RU" w:eastAsia="en-US" w:bidi="ar-SA"/>
      </w:rPr>
    </w:lvl>
    <w:lvl w:ilvl="4" w:tplc="1668F856">
      <w:numFmt w:val="bullet"/>
      <w:lvlText w:val="•"/>
      <w:lvlJc w:val="left"/>
      <w:pPr>
        <w:ind w:left="3948" w:hanging="1066"/>
      </w:pPr>
      <w:rPr>
        <w:rFonts w:hint="default"/>
        <w:lang w:val="ru-RU" w:eastAsia="en-US" w:bidi="ar-SA"/>
      </w:rPr>
    </w:lvl>
    <w:lvl w:ilvl="5" w:tplc="A3321DC8">
      <w:numFmt w:val="bullet"/>
      <w:lvlText w:val="•"/>
      <w:lvlJc w:val="left"/>
      <w:pPr>
        <w:ind w:left="4911" w:hanging="1066"/>
      </w:pPr>
      <w:rPr>
        <w:rFonts w:hint="default"/>
        <w:lang w:val="ru-RU" w:eastAsia="en-US" w:bidi="ar-SA"/>
      </w:rPr>
    </w:lvl>
    <w:lvl w:ilvl="6" w:tplc="08144548">
      <w:numFmt w:val="bullet"/>
      <w:lvlText w:val="•"/>
      <w:lvlJc w:val="left"/>
      <w:pPr>
        <w:ind w:left="5874" w:hanging="1066"/>
      </w:pPr>
      <w:rPr>
        <w:rFonts w:hint="default"/>
        <w:lang w:val="ru-RU" w:eastAsia="en-US" w:bidi="ar-SA"/>
      </w:rPr>
    </w:lvl>
    <w:lvl w:ilvl="7" w:tplc="2E92FAA8">
      <w:numFmt w:val="bullet"/>
      <w:lvlText w:val="•"/>
      <w:lvlJc w:val="left"/>
      <w:pPr>
        <w:ind w:left="6837" w:hanging="1066"/>
      </w:pPr>
      <w:rPr>
        <w:rFonts w:hint="default"/>
        <w:lang w:val="ru-RU" w:eastAsia="en-US" w:bidi="ar-SA"/>
      </w:rPr>
    </w:lvl>
    <w:lvl w:ilvl="8" w:tplc="841C9102">
      <w:numFmt w:val="bullet"/>
      <w:lvlText w:val="•"/>
      <w:lvlJc w:val="left"/>
      <w:pPr>
        <w:ind w:left="7800" w:hanging="106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12"/>
  </w:num>
  <w:num w:numId="12">
    <w:abstractNumId w:val="13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44D"/>
    <w:rsid w:val="00016AED"/>
    <w:rsid w:val="000C575F"/>
    <w:rsid w:val="000C673C"/>
    <w:rsid w:val="0011020B"/>
    <w:rsid w:val="00113743"/>
    <w:rsid w:val="001633FA"/>
    <w:rsid w:val="001D247A"/>
    <w:rsid w:val="001D3D31"/>
    <w:rsid w:val="00206B70"/>
    <w:rsid w:val="002A49E8"/>
    <w:rsid w:val="002B0404"/>
    <w:rsid w:val="00323031"/>
    <w:rsid w:val="00356E27"/>
    <w:rsid w:val="004050FF"/>
    <w:rsid w:val="00405CAF"/>
    <w:rsid w:val="0045144B"/>
    <w:rsid w:val="00496D5A"/>
    <w:rsid w:val="00501DFF"/>
    <w:rsid w:val="00536B6C"/>
    <w:rsid w:val="00563EC2"/>
    <w:rsid w:val="00575D06"/>
    <w:rsid w:val="0059682F"/>
    <w:rsid w:val="005B6984"/>
    <w:rsid w:val="005E6ECA"/>
    <w:rsid w:val="00622793"/>
    <w:rsid w:val="00634C21"/>
    <w:rsid w:val="00643E17"/>
    <w:rsid w:val="00690E19"/>
    <w:rsid w:val="006B799A"/>
    <w:rsid w:val="006D6D2F"/>
    <w:rsid w:val="007019CA"/>
    <w:rsid w:val="007279BD"/>
    <w:rsid w:val="007F2774"/>
    <w:rsid w:val="00916E16"/>
    <w:rsid w:val="00917578"/>
    <w:rsid w:val="009235FA"/>
    <w:rsid w:val="0092720A"/>
    <w:rsid w:val="00965794"/>
    <w:rsid w:val="009D7E90"/>
    <w:rsid w:val="00AE2DDD"/>
    <w:rsid w:val="00AF4E91"/>
    <w:rsid w:val="00B12FFF"/>
    <w:rsid w:val="00BB0806"/>
    <w:rsid w:val="00C44216"/>
    <w:rsid w:val="00C51F78"/>
    <w:rsid w:val="00C62623"/>
    <w:rsid w:val="00C62C27"/>
    <w:rsid w:val="00CE2526"/>
    <w:rsid w:val="00CF39EE"/>
    <w:rsid w:val="00D23EDE"/>
    <w:rsid w:val="00D40033"/>
    <w:rsid w:val="00D4244D"/>
    <w:rsid w:val="00D45284"/>
    <w:rsid w:val="00DB51AA"/>
    <w:rsid w:val="00E36757"/>
    <w:rsid w:val="00E44B2C"/>
    <w:rsid w:val="00E82392"/>
    <w:rsid w:val="00EA34CA"/>
    <w:rsid w:val="00F04EED"/>
    <w:rsid w:val="00F234AA"/>
    <w:rsid w:val="00F3711F"/>
    <w:rsid w:val="00FA401B"/>
    <w:rsid w:val="00FB10DD"/>
    <w:rsid w:val="00FC39C4"/>
    <w:rsid w:val="00FD6A2C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89A1"/>
  <w15:docId w15:val="{B2A9311D-F068-4134-987E-A25217DD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2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3743"/>
  </w:style>
  <w:style w:type="paragraph" w:customStyle="1" w:styleId="ConsPlusNormal">
    <w:name w:val="ConsPlusNormal"/>
    <w:rsid w:val="0011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137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3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113743"/>
    <w:pPr>
      <w:widowControl w:val="0"/>
      <w:autoSpaceDE w:val="0"/>
      <w:autoSpaceDN w:val="0"/>
      <w:spacing w:after="0" w:line="240" w:lineRule="auto"/>
      <w:ind w:left="238" w:right="413" w:firstLine="709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6D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locked/>
    <w:rsid w:val="00C62C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">
    <w:name w:val="Footnote"/>
    <w:rsid w:val="007019CA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24</cp:revision>
  <cp:lastPrinted>2021-12-06T08:05:00Z</cp:lastPrinted>
  <dcterms:created xsi:type="dcterms:W3CDTF">2016-06-15T05:12:00Z</dcterms:created>
  <dcterms:modified xsi:type="dcterms:W3CDTF">2021-12-06T08:13:00Z</dcterms:modified>
</cp:coreProperties>
</file>